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2023 г. № 219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февраля 2023 г. № 219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расходования субсидии,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поступающей для организации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отдыха и оздоровления детей 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молодежи в рамках государственной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программы Воронежской области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«Развитие образования»,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приложением № 23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для организации отдыха и оздоровления детей и молодежи в рамках государственной программы Воронежской области «Развитие образования»,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уполномоченными органами по расходованию средств, поступающих для организации отдыха и оздоровления детей и молодежи в рамках государственной программы Воронежской области «Развитие образования», на 2023 год управление образования и молодежной политики администрации городского округа город Воронеж и управление физической культуры и спорта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14.02.2022 № 129 «Об утверждении Порядка расходования субсидии, поступающей для организации отдыха и оздоровления детей и молодежи в рамках государственной программы Воронежской области «Развитие образования», на 2022 год».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